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в честь Дня России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"Россия – нет места на свете красивей!"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в честь Дня России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"Россия – нет места на свете красивей!"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https://ok-etalon.ru/?mod=online&amp;sel=test&amp;open=380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