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"Физика. Основные понятия механики"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"Физика. Основные понятия механики"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https://ok-etalon.ru/?mod=online&amp;sel=test&amp;open=429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