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"Подарок защитникам Отечества"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"Подарок защитникам Отечества"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учеников 1 - 5 классов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учащиеся 1 - 5 классов образовательных учреждений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https://ok-etalon.ru?mod=tender&amp;sel=page_creativ&amp;open=7;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30 января 2017 года по 9 февраля 2018 года (приём заявок и работ участников с 30 января 2017 года по 6 марта 2017 года 23:59:59 (МСК); голосование с 7 марта 2017 года 00:00:00 (MСK) по 8 февраля 2018 года 23:59:59 (МСК); подведение итогов 9 февраля 2018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(https://ok-etalon.ru?mod=tender&amp;sel=page_creativ&amp;open=7).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6 марта 2017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8 февраля 2018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